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7A20" w14:textId="77777777" w:rsidR="00280FE4" w:rsidRDefault="00000000">
      <w:pPr>
        <w:spacing w:after="80"/>
      </w:pPr>
      <w:r>
        <w:rPr>
          <w:b/>
          <w:bCs/>
          <w:caps/>
          <w:color w:val="595959"/>
          <w:sz w:val="20"/>
          <w:szCs w:val="20"/>
        </w:rPr>
        <w:t>RESEARCH MEMORANDUM</w:t>
      </w:r>
    </w:p>
    <w:p w14:paraId="4D06E4BB" w14:textId="77777777" w:rsidR="00280FE4" w:rsidRDefault="00000000">
      <w:pPr>
        <w:spacing w:after="160"/>
      </w:pPr>
      <w:proofErr w:type="spellStart"/>
      <w:r>
        <w:rPr>
          <w:b/>
          <w:bCs/>
          <w:color w:val="1F3864"/>
          <w:sz w:val="40"/>
          <w:szCs w:val="40"/>
        </w:rPr>
        <w:t>Nebius</w:t>
      </w:r>
      <w:proofErr w:type="spellEnd"/>
      <w:r>
        <w:rPr>
          <w:b/>
          <w:bCs/>
          <w:color w:val="1F3864"/>
          <w:sz w:val="40"/>
          <w:szCs w:val="40"/>
        </w:rPr>
        <w:t xml:space="preserve"> AI Data Center — Independence, Missouri</w:t>
      </w:r>
    </w:p>
    <w:p w14:paraId="1C81C23C" w14:textId="77777777" w:rsidR="00280FE4" w:rsidRDefault="00000000">
      <w:pPr>
        <w:spacing w:after="60"/>
      </w:pPr>
      <w:r>
        <w:rPr>
          <w:color w:val="2E75B6"/>
          <w:sz w:val="28"/>
          <w:szCs w:val="28"/>
        </w:rPr>
        <w:t>Deviations from the City of Independence 2023 Economic Development Policy</w:t>
      </w:r>
    </w:p>
    <w:p w14:paraId="39054BA4" w14:textId="77777777" w:rsidR="00280FE4" w:rsidRDefault="00280FE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280FE4" w14:paraId="008F1B9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33B63C" w14:textId="77777777" w:rsidR="00280FE4" w:rsidRDefault="00000000">
            <w:r>
              <w:rPr>
                <w:b/>
                <w:bCs/>
                <w:sz w:val="20"/>
                <w:szCs w:val="20"/>
              </w:rPr>
              <w:t>Date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E2E59A" w14:textId="77777777" w:rsidR="00280FE4" w:rsidRDefault="00000000">
            <w:r>
              <w:rPr>
                <w:sz w:val="20"/>
                <w:szCs w:val="20"/>
              </w:rPr>
              <w:t>May 2026</w:t>
            </w:r>
          </w:p>
        </w:tc>
      </w:tr>
      <w:tr w:rsidR="00280FE4" w14:paraId="66DF704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213C41" w14:textId="77777777" w:rsidR="00280FE4" w:rsidRDefault="00000000">
            <w:r>
              <w:rPr>
                <w:b/>
                <w:bCs/>
                <w:sz w:val="20"/>
                <w:szCs w:val="20"/>
              </w:rPr>
              <w:t>Subject</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115464" w14:textId="77777777" w:rsidR="00280FE4" w:rsidRDefault="00000000">
            <w:proofErr w:type="spellStart"/>
            <w:r>
              <w:rPr>
                <w:sz w:val="20"/>
                <w:szCs w:val="20"/>
              </w:rPr>
              <w:t>Nebius</w:t>
            </w:r>
            <w:proofErr w:type="spellEnd"/>
            <w:r>
              <w:rPr>
                <w:sz w:val="20"/>
                <w:szCs w:val="20"/>
              </w:rPr>
              <w:t>/NorthPoint Chapter 100 Bond Ordinance (Bill No. 26-019; Ord. No. 19791) — Deviation from City Economic Development Policy</w:t>
            </w:r>
          </w:p>
        </w:tc>
      </w:tr>
      <w:tr w:rsidR="00280FE4" w14:paraId="72265F4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4E45F1E" w14:textId="77777777" w:rsidR="00280FE4" w:rsidRDefault="00000000">
            <w:r>
              <w:rPr>
                <w:b/>
                <w:bCs/>
                <w:sz w:val="20"/>
                <w:szCs w:val="20"/>
              </w:rPr>
              <w:t>Reference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21C242" w14:textId="77777777" w:rsidR="00280FE4" w:rsidRDefault="00000000">
            <w:r>
              <w:rPr>
                <w:sz w:val="20"/>
                <w:szCs w:val="20"/>
              </w:rPr>
              <w:t>City of Independence 2023 Economic Development Policy (August 2023); Chapter 100 RSMO</w:t>
            </w:r>
          </w:p>
        </w:tc>
      </w:tr>
      <w:tr w:rsidR="00280FE4" w14:paraId="03E6956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22FA71" w14:textId="77777777" w:rsidR="00280FE4" w:rsidRDefault="00000000">
            <w:r>
              <w:rPr>
                <w:b/>
                <w:bCs/>
                <w:sz w:val="20"/>
                <w:szCs w:val="20"/>
              </w:rPr>
              <w:t>Prepared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EEA96C" w14:textId="77777777" w:rsidR="00280FE4" w:rsidRDefault="00000000">
            <w:r>
              <w:rPr>
                <w:sz w:val="20"/>
                <w:szCs w:val="20"/>
              </w:rPr>
              <w:t>Stop the AI Data Center in Independence, MO — Community Research Group</w:t>
            </w:r>
          </w:p>
        </w:tc>
      </w:tr>
    </w:tbl>
    <w:p w14:paraId="3FFEBCAE" w14:textId="77777777" w:rsidR="00280FE4" w:rsidRDefault="00280FE4">
      <w:pPr>
        <w:spacing w:before="60" w:after="60"/>
      </w:pPr>
    </w:p>
    <w:p w14:paraId="2A992964" w14:textId="77777777" w:rsidR="00280FE4" w:rsidRDefault="00000000">
      <w:pPr>
        <w:pStyle w:val="Heading1"/>
        <w:pBdr>
          <w:bottom w:val="single" w:sz="6" w:space="4" w:color="2E75B6"/>
        </w:pBdr>
      </w:pPr>
      <w:r>
        <w:t>I. Purpose and Background</w:t>
      </w:r>
    </w:p>
    <w:p w14:paraId="50D5B46C" w14:textId="77777777" w:rsidR="00280FE4" w:rsidRDefault="00000000">
      <w:pPr>
        <w:spacing w:before="80" w:after="100" w:line="276" w:lineRule="auto"/>
      </w:pPr>
      <w:r>
        <w:t xml:space="preserve">This memorandum documents specific, material deviations between the </w:t>
      </w:r>
      <w:proofErr w:type="spellStart"/>
      <w:r>
        <w:t>Nebius</w:t>
      </w:r>
      <w:proofErr w:type="spellEnd"/>
      <w:r>
        <w:t xml:space="preserve"> AI data center project approved by Independence City Council on March 2, 2026 (Bill No. 26-019; Ordinance No. 19791) and the standards set forth in the City of Independence 2023 Economic Development Policy (the "Policy"). The Policy was adopted to govern the use of all public economic incentive tools, including Chapter 100 industrial development bonds.</w:t>
      </w:r>
    </w:p>
    <w:p w14:paraId="31777DEF" w14:textId="77777777" w:rsidR="00280FE4" w:rsidRDefault="00280FE4">
      <w:pPr>
        <w:spacing w:before="60" w:after="60"/>
      </w:pPr>
    </w:p>
    <w:p w14:paraId="5027067A" w14:textId="77777777" w:rsidR="00280FE4" w:rsidRDefault="00000000">
      <w:pPr>
        <w:spacing w:before="80" w:after="100" w:line="276" w:lineRule="auto"/>
      </w:pPr>
      <w:r>
        <w:t>The Policy expressly states its purpose: to "provide guidance to property owners and developers on the use of public economic incentive tools" and to "set forth standards and policies that will be applied by the City to the use of economic development tools." It further states that "any decision regarding the use of public economic incentives will be made in accordance with the guidelines, criteria, and procedures set forth in this Policy."</w:t>
      </w:r>
    </w:p>
    <w:p w14:paraId="04304932" w14:textId="77777777" w:rsidR="00280FE4" w:rsidRDefault="00280FE4">
      <w:pPr>
        <w:spacing w:before="60" w:after="60"/>
      </w:pPr>
    </w:p>
    <w:p w14:paraId="4B74B298" w14:textId="77777777" w:rsidR="00280FE4" w:rsidRDefault="00000000">
      <w:pPr>
        <w:spacing w:before="80" w:after="100" w:line="276" w:lineRule="auto"/>
      </w:pPr>
      <w:r>
        <w:t xml:space="preserve">The </w:t>
      </w:r>
      <w:proofErr w:type="spellStart"/>
      <w:r>
        <w:t>Nebius</w:t>
      </w:r>
      <w:proofErr w:type="spellEnd"/>
      <w:r>
        <w:t xml:space="preserve"> transaction — a 20-year, 90% Chapter 100 tax abatement on up to $150.6 billion in property and equipment — deviates from the Policy on at least nine distinct and material grounds, as detailed below.</w:t>
      </w:r>
    </w:p>
    <w:p w14:paraId="56F44A3C" w14:textId="77777777" w:rsidR="00280FE4" w:rsidRDefault="00280FE4">
      <w:pPr>
        <w:spacing w:before="60" w:after="60"/>
      </w:pPr>
    </w:p>
    <w:p w14:paraId="74D0B18A" w14:textId="77777777" w:rsidR="00280FE4" w:rsidRDefault="00000000">
      <w:pPr>
        <w:pStyle w:val="Heading1"/>
        <w:pBdr>
          <w:bottom w:val="single" w:sz="6" w:space="4" w:color="2E75B6"/>
        </w:pBdr>
      </w:pPr>
      <w:r>
        <w:t>II. Summary of Deviations</w:t>
      </w:r>
    </w:p>
    <w:p w14:paraId="053801DC" w14:textId="77777777" w:rsidR="00280FE4" w:rsidRDefault="00000000">
      <w:pPr>
        <w:spacing w:before="80" w:after="100" w:line="276" w:lineRule="auto"/>
      </w:pPr>
      <w:r>
        <w:t>The following table summarizes all identified deviations. Each is analyzed in detail in Section III.</w:t>
      </w:r>
    </w:p>
    <w:p w14:paraId="50ABF8D0" w14:textId="77777777" w:rsidR="00280FE4" w:rsidRDefault="00280FE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3300"/>
        <w:gridCol w:w="3900"/>
      </w:tblGrid>
      <w:tr w:rsidR="00280FE4" w14:paraId="213C1718" w14:textId="77777777">
        <w:tblPrEx>
          <w:tblCellMar>
            <w:top w:w="0" w:type="dxa"/>
            <w:bottom w:w="0" w:type="dxa"/>
          </w:tblCellMar>
        </w:tblPrEx>
        <w:trPr>
          <w:tblHeader/>
        </w:trPr>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0751DA0" w14:textId="77777777" w:rsidR="00280FE4" w:rsidRDefault="00000000">
            <w:r>
              <w:rPr>
                <w:b/>
                <w:bCs/>
                <w:color w:val="FFFFFF"/>
                <w:sz w:val="20"/>
                <w:szCs w:val="20"/>
              </w:rPr>
              <w:lastRenderedPageBreak/>
              <w:t>Policy Requirement</w:t>
            </w:r>
          </w:p>
        </w:tc>
        <w:tc>
          <w:tcPr>
            <w:tcW w:w="33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7FE69B3" w14:textId="77777777" w:rsidR="00280FE4" w:rsidRDefault="00000000">
            <w:r>
              <w:rPr>
                <w:b/>
                <w:bCs/>
                <w:color w:val="FFFFFF"/>
                <w:sz w:val="20"/>
                <w:szCs w:val="20"/>
              </w:rPr>
              <w:t>What the 2023 Policy Requires</w:t>
            </w:r>
          </w:p>
        </w:tc>
        <w:tc>
          <w:tcPr>
            <w:tcW w:w="39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629EB7E" w14:textId="77777777" w:rsidR="00280FE4" w:rsidRDefault="00000000">
            <w:r>
              <w:rPr>
                <w:b/>
                <w:bCs/>
                <w:color w:val="FFFFFF"/>
                <w:sz w:val="20"/>
                <w:szCs w:val="20"/>
              </w:rPr>
              <w:t xml:space="preserve">What the </w:t>
            </w:r>
            <w:proofErr w:type="spellStart"/>
            <w:r>
              <w:rPr>
                <w:b/>
                <w:bCs/>
                <w:color w:val="FFFFFF"/>
                <w:sz w:val="20"/>
                <w:szCs w:val="20"/>
              </w:rPr>
              <w:t>Nebius</w:t>
            </w:r>
            <w:proofErr w:type="spellEnd"/>
            <w:r>
              <w:rPr>
                <w:b/>
                <w:bCs/>
                <w:color w:val="FFFFFF"/>
                <w:sz w:val="20"/>
                <w:szCs w:val="20"/>
              </w:rPr>
              <w:t xml:space="preserve"> Deal Actually Did</w:t>
            </w:r>
          </w:p>
        </w:tc>
      </w:tr>
      <w:tr w:rsidR="00280FE4" w14:paraId="13B3A99C"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94EB0CA" w14:textId="77777777" w:rsidR="00280FE4" w:rsidRDefault="00000000">
            <w:r>
              <w:rPr>
                <w:sz w:val="20"/>
                <w:szCs w:val="20"/>
              </w:rPr>
              <w:t>Abatement %</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E0EA47" w14:textId="77777777" w:rsidR="00280FE4" w:rsidRDefault="00000000">
            <w:r>
              <w:rPr>
                <w:sz w:val="20"/>
                <w:szCs w:val="20"/>
              </w:rPr>
              <w:t>85% max; 10-yr base (TBD for largest)</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2188AF24" w14:textId="77777777" w:rsidR="00280FE4" w:rsidRDefault="00000000">
            <w:r>
              <w:rPr>
                <w:b/>
                <w:bCs/>
                <w:color w:val="C00000"/>
                <w:sz w:val="20"/>
                <w:szCs w:val="20"/>
              </w:rPr>
              <w:t>90% for 20 years — exceeds both % and duration</w:t>
            </w:r>
          </w:p>
        </w:tc>
      </w:tr>
      <w:tr w:rsidR="00280FE4" w14:paraId="5C767FE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7E7B9E" w14:textId="77777777" w:rsidR="00280FE4" w:rsidRDefault="00000000">
            <w:r>
              <w:rPr>
                <w:sz w:val="20"/>
                <w:szCs w:val="20"/>
              </w:rPr>
              <w:t>"But For" Test</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595436" w14:textId="77777777" w:rsidR="00280FE4" w:rsidRDefault="00000000">
            <w:r>
              <w:rPr>
                <w:sz w:val="20"/>
                <w:szCs w:val="20"/>
              </w:rPr>
              <w:t>Required IRR pro forma, publicly demonstrated</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4F00602D" w14:textId="77777777" w:rsidR="00280FE4" w:rsidRDefault="00000000">
            <w:r>
              <w:rPr>
                <w:b/>
                <w:bCs/>
                <w:color w:val="C00000"/>
                <w:sz w:val="20"/>
                <w:szCs w:val="20"/>
              </w:rPr>
              <w:t>Never publicly demonstrated; no pro forma released</w:t>
            </w:r>
          </w:p>
        </w:tc>
      </w:tr>
      <w:tr w:rsidR="00280FE4" w14:paraId="101E64E5"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915ADCA" w14:textId="77777777" w:rsidR="00280FE4" w:rsidRDefault="00000000">
            <w:r>
              <w:rPr>
                <w:sz w:val="20"/>
                <w:szCs w:val="20"/>
              </w:rPr>
              <w:t>Public Participation Cap</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FB8F54C" w14:textId="77777777" w:rsidR="00280FE4" w:rsidRDefault="00000000">
            <w:r>
              <w:rPr>
                <w:sz w:val="20"/>
                <w:szCs w:val="20"/>
              </w:rPr>
              <w:t>≤20% of total project cost; waiver must be explicit</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55A7596C" w14:textId="77777777" w:rsidR="00280FE4" w:rsidRDefault="00000000">
            <w:r>
              <w:rPr>
                <w:b/>
                <w:bCs/>
                <w:color w:val="C00000"/>
                <w:sz w:val="20"/>
                <w:szCs w:val="20"/>
              </w:rPr>
              <w:t>No formal public waiver documented or debated</w:t>
            </w:r>
          </w:p>
        </w:tc>
      </w:tr>
      <w:tr w:rsidR="00280FE4" w14:paraId="70054FC9"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91164CD" w14:textId="77777777" w:rsidR="00280FE4" w:rsidRDefault="00000000">
            <w:r>
              <w:rPr>
                <w:sz w:val="20"/>
                <w:szCs w:val="20"/>
              </w:rPr>
              <w:t>Comprehensive Plan Conformance</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B5514D8" w14:textId="77777777" w:rsidR="00280FE4" w:rsidRDefault="00000000">
            <w:r>
              <w:rPr>
                <w:sz w:val="20"/>
                <w:szCs w:val="20"/>
              </w:rPr>
              <w:t>Required before any incentive is granted</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7A0D6C6B" w14:textId="77777777" w:rsidR="00280FE4" w:rsidRDefault="00000000">
            <w:r>
              <w:rPr>
                <w:b/>
                <w:bCs/>
                <w:color w:val="C00000"/>
                <w:sz w:val="20"/>
                <w:szCs w:val="20"/>
              </w:rPr>
              <w:t>Not reestablished; 2022 rezoning was for warehousing</w:t>
            </w:r>
          </w:p>
        </w:tc>
      </w:tr>
      <w:tr w:rsidR="00280FE4" w14:paraId="5003B045"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6D2C93C" w14:textId="77777777" w:rsidR="00280FE4" w:rsidRDefault="00000000">
            <w:r>
              <w:rPr>
                <w:sz w:val="20"/>
                <w:szCs w:val="20"/>
              </w:rPr>
              <w:t>Jobs-to-Investment Ratio</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F7EB5F9" w14:textId="77777777" w:rsidR="00280FE4" w:rsidRDefault="00000000">
            <w:r>
              <w:rPr>
                <w:sz w:val="20"/>
                <w:szCs w:val="20"/>
              </w:rPr>
              <w:t>Matrix-based, jobs-driven framework throughout</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2B17ED9F" w14:textId="77777777" w:rsidR="00280FE4" w:rsidRDefault="00000000">
            <w:r>
              <w:rPr>
                <w:b/>
                <w:bCs/>
                <w:color w:val="C00000"/>
                <w:sz w:val="20"/>
                <w:szCs w:val="20"/>
              </w:rPr>
              <w:t>~100–200 permanent jobs on $150B+ — no matrix fit</w:t>
            </w:r>
          </w:p>
        </w:tc>
      </w:tr>
      <w:tr w:rsidR="00280FE4" w14:paraId="5156B47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8E3A28" w14:textId="77777777" w:rsidR="00280FE4" w:rsidRDefault="00000000">
            <w:r>
              <w:rPr>
                <w:sz w:val="20"/>
                <w:szCs w:val="20"/>
              </w:rPr>
              <w:t>Wage Benchmark</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359EA5F" w14:textId="77777777" w:rsidR="00280FE4" w:rsidRDefault="00000000">
            <w:r>
              <w:rPr>
                <w:sz w:val="20"/>
                <w:szCs w:val="20"/>
              </w:rPr>
              <w:t>120% Jackson County avg. wage for Most Favored</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6B81102E" w14:textId="77777777" w:rsidR="00280FE4" w:rsidRDefault="00000000">
            <w:r>
              <w:rPr>
                <w:b/>
                <w:bCs/>
                <w:color w:val="C00000"/>
                <w:sz w:val="20"/>
                <w:szCs w:val="20"/>
              </w:rPr>
              <w:t>No enforceable wage commitment in bond documents</w:t>
            </w:r>
          </w:p>
        </w:tc>
      </w:tr>
      <w:tr w:rsidR="00280FE4" w14:paraId="48AF6BB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6560789" w14:textId="77777777" w:rsidR="00280FE4" w:rsidRDefault="00000000">
            <w:r>
              <w:rPr>
                <w:sz w:val="20"/>
                <w:szCs w:val="20"/>
              </w:rPr>
              <w:t>Sustainable Practices</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6BBF21" w14:textId="77777777" w:rsidR="00280FE4" w:rsidRDefault="00000000">
            <w:r>
              <w:rPr>
                <w:sz w:val="20"/>
                <w:szCs w:val="20"/>
              </w:rPr>
              <w:t>Binding provision; energy efficiency required</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19901CD9" w14:textId="77777777" w:rsidR="00280FE4" w:rsidRDefault="00000000">
            <w:r>
              <w:rPr>
                <w:b/>
                <w:bCs/>
                <w:color w:val="C00000"/>
                <w:sz w:val="20"/>
                <w:szCs w:val="20"/>
              </w:rPr>
              <w:t>No binding sustainability or energy commitments</w:t>
            </w:r>
          </w:p>
        </w:tc>
      </w:tr>
      <w:tr w:rsidR="00280FE4" w14:paraId="327445C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C48F92" w14:textId="77777777" w:rsidR="00280FE4" w:rsidRDefault="00000000">
            <w:r>
              <w:rPr>
                <w:sz w:val="20"/>
                <w:szCs w:val="20"/>
              </w:rPr>
              <w:t>PILOT Payments (IPP)</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BC49513" w14:textId="77777777" w:rsidR="00280FE4" w:rsidRDefault="00000000">
            <w:r>
              <w:rPr>
                <w:sz w:val="20"/>
                <w:szCs w:val="20"/>
              </w:rPr>
              <w:t>PILOTs required to taxing jurisdictions</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6F97ED37" w14:textId="77777777" w:rsidR="00280FE4" w:rsidRDefault="00000000">
            <w:r>
              <w:rPr>
                <w:b/>
                <w:bCs/>
                <w:color w:val="C00000"/>
                <w:sz w:val="20"/>
                <w:szCs w:val="20"/>
              </w:rPr>
              <w:t>IPP granted 100% abatement, zero PILOT</w:t>
            </w:r>
          </w:p>
        </w:tc>
      </w:tr>
      <w:tr w:rsidR="00280FE4" w14:paraId="074C87AB"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1A695D3" w14:textId="77777777" w:rsidR="00280FE4" w:rsidRDefault="00000000">
            <w:r>
              <w:rPr>
                <w:sz w:val="20"/>
                <w:szCs w:val="20"/>
              </w:rPr>
              <w:t>EDIC Review Process</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CE9D03" w14:textId="77777777" w:rsidR="00280FE4" w:rsidRDefault="00000000">
            <w:r>
              <w:rPr>
                <w:sz w:val="20"/>
                <w:szCs w:val="20"/>
              </w:rPr>
              <w:t>Mandatory commission review before Council vote</w:t>
            </w:r>
          </w:p>
        </w:tc>
        <w:tc>
          <w:tcPr>
            <w:tcW w:w="39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376A625E" w14:textId="77777777" w:rsidR="00280FE4" w:rsidRDefault="00000000">
            <w:r>
              <w:rPr>
                <w:b/>
                <w:bCs/>
                <w:color w:val="C00000"/>
                <w:sz w:val="20"/>
                <w:szCs w:val="20"/>
              </w:rPr>
              <w:t>Largely conducted in closed executive session</w:t>
            </w:r>
          </w:p>
        </w:tc>
      </w:tr>
    </w:tbl>
    <w:p w14:paraId="1DFD6498" w14:textId="77777777" w:rsidR="00280FE4" w:rsidRDefault="00280FE4">
      <w:pPr>
        <w:spacing w:before="60" w:after="60"/>
      </w:pPr>
    </w:p>
    <w:p w14:paraId="1D08DAE9" w14:textId="77777777" w:rsidR="00280FE4" w:rsidRDefault="00000000">
      <w:pPr>
        <w:pStyle w:val="Heading1"/>
        <w:pBdr>
          <w:bottom w:val="single" w:sz="6" w:space="4" w:color="2E75B6"/>
        </w:pBdr>
      </w:pPr>
      <w:r>
        <w:t>III. Detailed Analysis of Each Deviation</w:t>
      </w:r>
    </w:p>
    <w:p w14:paraId="77C2DF41" w14:textId="77777777" w:rsidR="00280FE4" w:rsidRDefault="00000000">
      <w:pPr>
        <w:pStyle w:val="Heading2"/>
      </w:pPr>
      <w:r>
        <w:t>Deviation 1: Abatement Percentage and Duration Exceed Policy Limits</w:t>
      </w:r>
    </w:p>
    <w:p w14:paraId="09FBACD0" w14:textId="77777777" w:rsidR="00280FE4" w:rsidRDefault="00000000">
      <w:pPr>
        <w:spacing w:before="80" w:after="100" w:line="276" w:lineRule="auto"/>
      </w:pPr>
      <w:r>
        <w:t>Policy Language (Section IV.A.1.A — Chapter 100 Abatement Table):</w:t>
      </w:r>
    </w:p>
    <w:p w14:paraId="17216621" w14:textId="77777777" w:rsidR="00280FE4" w:rsidRDefault="00000000">
      <w:pPr>
        <w:spacing w:before="80" w:after="100" w:line="276" w:lineRule="auto"/>
      </w:pPr>
      <w:r>
        <w:t>The Policy's Chapter 100 abatement matrix sets the maximum explicitly stated abatement at 85% for the largest investment/job tiers, with base durations of 10 years and extended periods reaching 17 years for certain tiers. For the highest investment level ($75M+) combined with the highest job creation (300+ jobs), the abatement level is listed as "TBD" — meaning the City retained discretion and no floor was established. No cell in the Policy's matrix authorizes 90% abatement. No cell authorizes a 20-year term.</w:t>
      </w:r>
    </w:p>
    <w:p w14:paraId="7757CD29" w14:textId="77777777" w:rsidR="00280FE4" w:rsidRDefault="00280FE4">
      <w:pPr>
        <w:spacing w:before="60" w:after="60"/>
      </w:pPr>
    </w:p>
    <w:p w14:paraId="7E66A18A" w14:textId="77777777" w:rsidR="00280FE4" w:rsidRDefault="00000000">
      <w:pPr>
        <w:spacing w:before="80" w:after="100" w:line="276" w:lineRule="auto"/>
      </w:pPr>
      <w:r>
        <w:t>Deviation:</w:t>
      </w:r>
    </w:p>
    <w:p w14:paraId="425030E1" w14:textId="77777777" w:rsidR="00280FE4" w:rsidRDefault="00000000">
      <w:pPr>
        <w:pStyle w:val="ListParagraph"/>
        <w:numPr>
          <w:ilvl w:val="0"/>
          <w:numId w:val="2"/>
        </w:numPr>
        <w:spacing w:before="60" w:after="60"/>
      </w:pPr>
      <w:proofErr w:type="spellStart"/>
      <w:r>
        <w:t>Nebius</w:t>
      </w:r>
      <w:proofErr w:type="spellEnd"/>
      <w:r>
        <w:t xml:space="preserve"> received 90% abatement — exceeding the 85% maximum explicitly stated anywhere in the matrix.</w:t>
      </w:r>
    </w:p>
    <w:p w14:paraId="19700A6C" w14:textId="77777777" w:rsidR="00280FE4" w:rsidRDefault="00000000">
      <w:pPr>
        <w:pStyle w:val="ListParagraph"/>
        <w:numPr>
          <w:ilvl w:val="0"/>
          <w:numId w:val="2"/>
        </w:numPr>
        <w:spacing w:before="60" w:after="60"/>
      </w:pPr>
      <w:r>
        <w:t>The abatement runs for 20 years — exceeding all explicitly stated durations in the matrix (max 17 years for specific tiers).</w:t>
      </w:r>
    </w:p>
    <w:p w14:paraId="7A4C8D2C" w14:textId="77777777" w:rsidR="00280FE4" w:rsidRDefault="00000000">
      <w:pPr>
        <w:pStyle w:val="ListParagraph"/>
        <w:numPr>
          <w:ilvl w:val="0"/>
          <w:numId w:val="2"/>
        </w:numPr>
        <w:spacing w:before="60" w:after="60"/>
      </w:pPr>
      <w:r>
        <w:t>The Policy states: "Abatement percentages shown are for 10 years except where a longer period is indicated." No Policy mechanism authorizes combining maximum percentage with maximum duration simultaneously.</w:t>
      </w:r>
    </w:p>
    <w:p w14:paraId="65D0DD2C" w14:textId="77777777" w:rsidR="00280FE4" w:rsidRDefault="00280FE4">
      <w:pPr>
        <w:spacing w:before="60" w:after="60"/>
      </w:pPr>
    </w:p>
    <w:p w14:paraId="18C1DB7F" w14:textId="77777777" w:rsidR="00280FE4" w:rsidRDefault="00000000">
      <w:pPr>
        <w:spacing w:before="80" w:after="100" w:line="276" w:lineRule="auto"/>
      </w:pPr>
      <w:r>
        <w:lastRenderedPageBreak/>
        <w:t>Legal Significance: The Policy is the City's own governing document. Granting terms that exceed its stated maximums without a documented, public waiver finding is arbitrary and inconsistent with the City's own declared standards.</w:t>
      </w:r>
    </w:p>
    <w:p w14:paraId="600E49F0" w14:textId="77777777" w:rsidR="00280FE4" w:rsidRDefault="00280FE4">
      <w:pPr>
        <w:spacing w:before="60" w:after="60"/>
      </w:pPr>
    </w:p>
    <w:p w14:paraId="1F375BE0" w14:textId="77777777" w:rsidR="00280FE4" w:rsidRDefault="00000000">
      <w:pPr>
        <w:pStyle w:val="Heading2"/>
      </w:pPr>
      <w:r>
        <w:t>Deviation 2: The "But For" Financial Test Was Not Publicly Demonstrated</w:t>
      </w:r>
    </w:p>
    <w:p w14:paraId="29CC5221" w14:textId="77777777" w:rsidR="00280FE4" w:rsidRDefault="00000000">
      <w:pPr>
        <w:spacing w:before="80" w:after="100" w:line="276" w:lineRule="auto"/>
      </w:pPr>
      <w:r>
        <w:t>Policy Language (Section V.A — Financial Incentives Application):</w:t>
      </w:r>
    </w:p>
    <w:p w14:paraId="1E7786D8" w14:textId="77777777" w:rsidR="00280FE4" w:rsidRDefault="00000000">
      <w:pPr>
        <w:spacing w:before="80" w:after="100" w:line="276" w:lineRule="auto"/>
      </w:pPr>
      <w:r>
        <w:t>The Policy's required application form mandates that applicants provide: "a pro forma demonstration detailing through the calculation of the internal rate of return with and without assistance that 'but for' the use of requested assistance, the proposed Project would not be feasible." This requirement appears in both the application worksheet and the Term Sheet template. The same standard applies to TIF under Section IV.B.1.</w:t>
      </w:r>
    </w:p>
    <w:p w14:paraId="6A7CD18D" w14:textId="77777777" w:rsidR="00280FE4" w:rsidRDefault="00280FE4">
      <w:pPr>
        <w:spacing w:before="60" w:after="60"/>
      </w:pPr>
    </w:p>
    <w:p w14:paraId="517FFA32" w14:textId="77777777" w:rsidR="00280FE4" w:rsidRDefault="00000000">
      <w:pPr>
        <w:spacing w:before="80" w:after="100" w:line="276" w:lineRule="auto"/>
      </w:pPr>
      <w:r>
        <w:t>Deviation:</w:t>
      </w:r>
    </w:p>
    <w:p w14:paraId="35AE2030" w14:textId="77777777" w:rsidR="00280FE4" w:rsidRDefault="00000000">
      <w:pPr>
        <w:pStyle w:val="ListParagraph"/>
        <w:numPr>
          <w:ilvl w:val="0"/>
          <w:numId w:val="2"/>
        </w:numPr>
        <w:spacing w:before="60" w:after="60"/>
      </w:pPr>
      <w:r>
        <w:t>No "but for" pro forma or IRR analysis was released publicly or presented to the City Council for independent verification.</w:t>
      </w:r>
    </w:p>
    <w:p w14:paraId="7415AAF9" w14:textId="77777777" w:rsidR="00280FE4" w:rsidRDefault="00000000">
      <w:pPr>
        <w:pStyle w:val="ListParagraph"/>
        <w:numPr>
          <w:ilvl w:val="0"/>
          <w:numId w:val="2"/>
        </w:numPr>
        <w:spacing w:before="60" w:after="60"/>
      </w:pPr>
      <w:proofErr w:type="spellStart"/>
      <w:r>
        <w:t>Nebius</w:t>
      </w:r>
      <w:proofErr w:type="spellEnd"/>
      <w:r>
        <w:t xml:space="preserve"> purchased its own bonds as the sole bidder — an act demonstrating committed investment financing — which undercuts the premise that the project was infeasible without public subsidy.</w:t>
      </w:r>
    </w:p>
    <w:p w14:paraId="7E4D14FB" w14:textId="77777777" w:rsidR="00280FE4" w:rsidRDefault="00000000">
      <w:pPr>
        <w:pStyle w:val="ListParagraph"/>
        <w:numPr>
          <w:ilvl w:val="0"/>
          <w:numId w:val="2"/>
        </w:numPr>
        <w:spacing w:before="60" w:after="60"/>
      </w:pPr>
      <w:r>
        <w:t xml:space="preserve">The </w:t>
      </w:r>
      <w:proofErr w:type="gramStart"/>
      <w:r>
        <w:t>City</w:t>
      </w:r>
      <w:proofErr w:type="gramEnd"/>
      <w:r>
        <w:t xml:space="preserve"> accepted </w:t>
      </w:r>
      <w:proofErr w:type="spellStart"/>
      <w:r>
        <w:t>Nebius's</w:t>
      </w:r>
      <w:proofErr w:type="spellEnd"/>
      <w:r>
        <w:t xml:space="preserve"> representations as to necessity without independent verification through the City's own consultants or a public evidentiary record.</w:t>
      </w:r>
    </w:p>
    <w:p w14:paraId="6E2ACB34" w14:textId="77777777" w:rsidR="00280FE4" w:rsidRDefault="00280FE4">
      <w:pPr>
        <w:spacing w:before="60" w:after="60"/>
      </w:pPr>
    </w:p>
    <w:p w14:paraId="7AC28AFD" w14:textId="77777777" w:rsidR="00280FE4" w:rsidRDefault="00000000">
      <w:pPr>
        <w:spacing w:before="80" w:after="100" w:line="276" w:lineRule="auto"/>
      </w:pPr>
      <w:r>
        <w:t>Legal Significance: The "but for" test is a fundamental safeguard against corporate welfare — it is the mechanism by which the City confirms that public subsidy is genuinely necessary. Omitting it on a $150B project represents a failure of the Policy's core protective function.</w:t>
      </w:r>
    </w:p>
    <w:p w14:paraId="145B0AEB" w14:textId="77777777" w:rsidR="00280FE4" w:rsidRDefault="00280FE4">
      <w:pPr>
        <w:spacing w:before="60" w:after="60"/>
      </w:pPr>
    </w:p>
    <w:p w14:paraId="03BE885B" w14:textId="77777777" w:rsidR="00280FE4" w:rsidRDefault="00000000">
      <w:pPr>
        <w:pStyle w:val="Heading2"/>
      </w:pPr>
      <w:r>
        <w:t>Deviation 3: The 20% Public Participation Cap Was Not Formally Waived</w:t>
      </w:r>
    </w:p>
    <w:p w14:paraId="3F81BA44" w14:textId="77777777" w:rsidR="00280FE4" w:rsidRDefault="00000000">
      <w:pPr>
        <w:spacing w:before="80" w:after="100" w:line="276" w:lineRule="auto"/>
      </w:pPr>
      <w:r>
        <w:t>Policy Language (Section IV.A.1.B — Chapter 100 Minimum Requirements):</w:t>
      </w:r>
    </w:p>
    <w:p w14:paraId="6ED386CF" w14:textId="77777777" w:rsidR="00280FE4" w:rsidRDefault="00000000">
      <w:pPr>
        <w:spacing w:before="80" w:after="100" w:line="276" w:lineRule="auto"/>
      </w:pPr>
      <w:r>
        <w:t>"Public participation shall not exceed 20% of the total project costs, including all public and private costs. This limitation is cumulative of all incentive tools used. The Council may also elect to waive or exceed this limitation if the project is deemed particularly beneficial to the community."</w:t>
      </w:r>
    </w:p>
    <w:p w14:paraId="43E7B7AC" w14:textId="77777777" w:rsidR="00280FE4" w:rsidRDefault="00280FE4">
      <w:pPr>
        <w:spacing w:before="60" w:after="60"/>
      </w:pPr>
    </w:p>
    <w:p w14:paraId="2B7E20B8" w14:textId="77777777" w:rsidR="00280FE4" w:rsidRDefault="00000000">
      <w:pPr>
        <w:spacing w:before="80" w:after="100" w:line="276" w:lineRule="auto"/>
      </w:pPr>
      <w:r>
        <w:t>Deviation:</w:t>
      </w:r>
    </w:p>
    <w:p w14:paraId="20BA0784" w14:textId="77777777" w:rsidR="00280FE4" w:rsidRDefault="00000000">
      <w:pPr>
        <w:pStyle w:val="ListParagraph"/>
        <w:numPr>
          <w:ilvl w:val="0"/>
          <w:numId w:val="2"/>
        </w:numPr>
        <w:spacing w:before="60" w:after="60"/>
      </w:pPr>
      <w:r>
        <w:t xml:space="preserve">The total value of foregone taxes across </w:t>
      </w:r>
      <w:proofErr w:type="spellStart"/>
      <w:r>
        <w:t>Nebius</w:t>
      </w:r>
      <w:proofErr w:type="spellEnd"/>
      <w:r>
        <w:t xml:space="preserve">, Independence Power Partners (IPP), and related incentives represents public participation far exceeding any reasonable 20% threshold when measured against either </w:t>
      </w:r>
      <w:proofErr w:type="spellStart"/>
      <w:r>
        <w:t>Nebius's</w:t>
      </w:r>
      <w:proofErr w:type="spellEnd"/>
      <w:r>
        <w:t xml:space="preserve"> investment or the community's cost.</w:t>
      </w:r>
    </w:p>
    <w:p w14:paraId="1BBF102C" w14:textId="77777777" w:rsidR="00280FE4" w:rsidRDefault="00000000">
      <w:pPr>
        <w:pStyle w:val="ListParagraph"/>
        <w:numPr>
          <w:ilvl w:val="0"/>
          <w:numId w:val="2"/>
        </w:numPr>
        <w:spacing w:before="60" w:after="60"/>
      </w:pPr>
      <w:r>
        <w:t>No formal Council resolution or finding was made on the record that the 20% cap was being waived and that the project warranted that exception.</w:t>
      </w:r>
    </w:p>
    <w:p w14:paraId="0BDC2AD3" w14:textId="77777777" w:rsidR="00280FE4" w:rsidRDefault="00000000">
      <w:pPr>
        <w:pStyle w:val="ListParagraph"/>
        <w:numPr>
          <w:ilvl w:val="0"/>
          <w:numId w:val="2"/>
        </w:numPr>
        <w:spacing w:before="60" w:after="60"/>
      </w:pPr>
      <w:r>
        <w:t>The Policy makes the waiver available but does not make it automatic. A deliberate, documented, public Council finding is required to invoke it.</w:t>
      </w:r>
    </w:p>
    <w:p w14:paraId="18639508" w14:textId="77777777" w:rsidR="00280FE4" w:rsidRDefault="00280FE4">
      <w:pPr>
        <w:spacing w:before="60" w:after="60"/>
      </w:pPr>
    </w:p>
    <w:p w14:paraId="3F59061C" w14:textId="77777777" w:rsidR="00280FE4" w:rsidRDefault="00000000">
      <w:pPr>
        <w:pStyle w:val="Heading2"/>
      </w:pPr>
      <w:r>
        <w:t>Deviation 4: Comprehensive Plan Conformance Was Not Reestablished for the Data Center Use</w:t>
      </w:r>
    </w:p>
    <w:p w14:paraId="554C2E79" w14:textId="77777777" w:rsidR="00280FE4" w:rsidRDefault="00000000">
      <w:pPr>
        <w:spacing w:before="80" w:after="100" w:line="276" w:lineRule="auto"/>
      </w:pPr>
      <w:r>
        <w:t>Policy Language (Section IV.A.1.B):</w:t>
      </w:r>
    </w:p>
    <w:p w14:paraId="669FAAAD" w14:textId="77777777" w:rsidR="00280FE4" w:rsidRDefault="00000000">
      <w:pPr>
        <w:spacing w:before="80" w:after="100" w:line="276" w:lineRule="auto"/>
      </w:pPr>
      <w:r>
        <w:t>"The proposed project must conform to the City's Comprehensive Plan" is listed as a minimum requirement for all Chapter 100 abatement. This requirement is non-discretionary.</w:t>
      </w:r>
    </w:p>
    <w:p w14:paraId="16639D12" w14:textId="77777777" w:rsidR="00280FE4" w:rsidRDefault="00280FE4">
      <w:pPr>
        <w:spacing w:before="60" w:after="60"/>
      </w:pPr>
    </w:p>
    <w:p w14:paraId="068D7670" w14:textId="77777777" w:rsidR="00280FE4" w:rsidRDefault="00000000">
      <w:pPr>
        <w:spacing w:before="80" w:after="100" w:line="276" w:lineRule="auto"/>
      </w:pPr>
      <w:r>
        <w:t>Deviation:</w:t>
      </w:r>
    </w:p>
    <w:p w14:paraId="7C055152" w14:textId="77777777" w:rsidR="00280FE4" w:rsidRDefault="00000000">
      <w:pPr>
        <w:pStyle w:val="ListParagraph"/>
        <w:numPr>
          <w:ilvl w:val="0"/>
          <w:numId w:val="2"/>
        </w:numPr>
        <w:spacing w:before="60" w:after="60"/>
      </w:pPr>
      <w:r>
        <w:t>The ~400-acre NorthPoint parcel was rezoned in 2022 (Bill No. 22-036) under a concept plan tied to a warehouse and distribution campus projected to create 5,000 jobs.</w:t>
      </w:r>
    </w:p>
    <w:p w14:paraId="730D9E30" w14:textId="77777777" w:rsidR="00280FE4" w:rsidRDefault="00000000">
      <w:pPr>
        <w:pStyle w:val="ListParagraph"/>
        <w:numPr>
          <w:ilvl w:val="0"/>
          <w:numId w:val="2"/>
        </w:numPr>
        <w:spacing w:before="60" w:after="60"/>
      </w:pPr>
      <w:r>
        <w:t>A hyperscale AI data center is a materially different land use — different infrastructure footprint, radically different employment density (100–200 permanent jobs vs. 5,000), and different water and power consumption profile.</w:t>
      </w:r>
    </w:p>
    <w:p w14:paraId="6C7A8AC0" w14:textId="77777777" w:rsidR="00280FE4" w:rsidRDefault="00000000">
      <w:pPr>
        <w:pStyle w:val="ListParagraph"/>
        <w:numPr>
          <w:ilvl w:val="0"/>
          <w:numId w:val="2"/>
        </w:numPr>
        <w:spacing w:before="60" w:after="60"/>
      </w:pPr>
      <w:r>
        <w:t xml:space="preserve">No comprehensive plan amendment, rezoning hearing, or conformance finding was conducted to establish that the </w:t>
      </w:r>
      <w:proofErr w:type="spellStart"/>
      <w:r>
        <w:t>Nebius</w:t>
      </w:r>
      <w:proofErr w:type="spellEnd"/>
      <w:r>
        <w:t xml:space="preserve"> data center use specifically conforms to the City's current Comprehensive Plan and the NorthPoint development framework.</w:t>
      </w:r>
    </w:p>
    <w:p w14:paraId="3429D692" w14:textId="77777777" w:rsidR="00280FE4" w:rsidRDefault="00280FE4">
      <w:pPr>
        <w:spacing w:before="60" w:after="60"/>
      </w:pPr>
    </w:p>
    <w:p w14:paraId="44196B64" w14:textId="77777777" w:rsidR="00280FE4" w:rsidRDefault="00000000">
      <w:pPr>
        <w:pStyle w:val="Heading2"/>
      </w:pPr>
      <w:r>
        <w:t>Deviation 5: The Jobs-to-Investment Ratio Has No Policy Framework</w:t>
      </w:r>
    </w:p>
    <w:p w14:paraId="1E39B8B1" w14:textId="77777777" w:rsidR="00280FE4" w:rsidRDefault="00000000">
      <w:pPr>
        <w:spacing w:before="80" w:after="100" w:line="276" w:lineRule="auto"/>
      </w:pPr>
      <w:r>
        <w:t>Policy Language (Section IV.A.1.A — Abatement Table):</w:t>
      </w:r>
    </w:p>
    <w:p w14:paraId="276F1E37" w14:textId="77777777" w:rsidR="00280FE4" w:rsidRDefault="00000000">
      <w:pPr>
        <w:spacing w:before="80" w:after="100" w:line="276" w:lineRule="auto"/>
      </w:pPr>
      <w:r>
        <w:t>The entire Chapter 100 abatement matrix is structured on two axes: investment amount and jobs created. Every abatement level is determined by the intersection of these two variables. The Policy's framework is expressly premised on job creation as the primary justification for public subsidy.</w:t>
      </w:r>
    </w:p>
    <w:p w14:paraId="6CE6FB7F" w14:textId="77777777" w:rsidR="00280FE4" w:rsidRDefault="00280FE4">
      <w:pPr>
        <w:spacing w:before="60" w:after="60"/>
      </w:pPr>
    </w:p>
    <w:p w14:paraId="744B16F8" w14:textId="77777777" w:rsidR="00280FE4" w:rsidRDefault="00000000">
      <w:pPr>
        <w:spacing w:before="80" w:after="100" w:line="276" w:lineRule="auto"/>
      </w:pPr>
      <w:r>
        <w:t>Deviation:</w:t>
      </w:r>
    </w:p>
    <w:p w14:paraId="7FBD0E38" w14:textId="77777777" w:rsidR="00280FE4" w:rsidRDefault="00000000">
      <w:pPr>
        <w:pStyle w:val="ListParagraph"/>
        <w:numPr>
          <w:ilvl w:val="0"/>
          <w:numId w:val="2"/>
        </w:numPr>
        <w:spacing w:before="60" w:after="60"/>
      </w:pPr>
      <w:proofErr w:type="spellStart"/>
      <w:r>
        <w:t>Nebius's</w:t>
      </w:r>
      <w:proofErr w:type="spellEnd"/>
      <w:r>
        <w:t xml:space="preserve"> investment of up to $150.6 billion in property and equipment is paired with an estimated 100–200 permanent direct jobs — a capital intensity ratio for which the Policy has no analytical framework.</w:t>
      </w:r>
    </w:p>
    <w:p w14:paraId="12D76A5D" w14:textId="77777777" w:rsidR="00280FE4" w:rsidRDefault="00000000">
      <w:pPr>
        <w:pStyle w:val="ListParagraph"/>
        <w:numPr>
          <w:ilvl w:val="0"/>
          <w:numId w:val="2"/>
        </w:numPr>
        <w:spacing w:before="60" w:after="60"/>
      </w:pPr>
      <w:r>
        <w:t xml:space="preserve">The Policy's matrix caps at "$75M+ investment" and "300+ jobs" — </w:t>
      </w:r>
      <w:proofErr w:type="spellStart"/>
      <w:r>
        <w:t>Nebius's</w:t>
      </w:r>
      <w:proofErr w:type="spellEnd"/>
      <w:r>
        <w:t xml:space="preserve"> investment exceeds the top row by a factor of approximately 2,000, while its job creation falls below the highest column threshold.</w:t>
      </w:r>
    </w:p>
    <w:p w14:paraId="6D183A8A" w14:textId="77777777" w:rsidR="00280FE4" w:rsidRDefault="00000000">
      <w:pPr>
        <w:pStyle w:val="ListParagraph"/>
        <w:numPr>
          <w:ilvl w:val="0"/>
          <w:numId w:val="2"/>
        </w:numPr>
        <w:spacing w:before="60" w:after="60"/>
      </w:pPr>
      <w:r>
        <w:t>The Policy was designed with projects like manufacturing, logistics, and office development in mind — not hyperscale data centers that substitute capital for labor. Applying its abatement matrix to a project with this ratio without a tailored analysis violates the Policy's intent.</w:t>
      </w:r>
    </w:p>
    <w:p w14:paraId="558AA848" w14:textId="77777777" w:rsidR="00280FE4" w:rsidRDefault="00280FE4">
      <w:pPr>
        <w:spacing w:before="60" w:after="60"/>
      </w:pPr>
    </w:p>
    <w:p w14:paraId="4366BE94" w14:textId="77777777" w:rsidR="00280FE4" w:rsidRDefault="00000000">
      <w:pPr>
        <w:pStyle w:val="Heading2"/>
      </w:pPr>
      <w:r>
        <w:t>Deviation 6: No Enforceable Wage Commitment Appears in the Bond Documents</w:t>
      </w:r>
    </w:p>
    <w:p w14:paraId="57AA073C" w14:textId="77777777" w:rsidR="00280FE4" w:rsidRDefault="00000000">
      <w:pPr>
        <w:spacing w:before="80" w:after="100" w:line="276" w:lineRule="auto"/>
      </w:pPr>
      <w:r>
        <w:t>Policy Language (Sections IV.A.1.B and IV.A.1.C):</w:t>
      </w:r>
    </w:p>
    <w:p w14:paraId="30E46FF9" w14:textId="77777777" w:rsidR="00280FE4" w:rsidRDefault="00000000">
      <w:pPr>
        <w:spacing w:before="80" w:after="100" w:line="276" w:lineRule="auto"/>
      </w:pPr>
      <w:r>
        <w:lastRenderedPageBreak/>
        <w:t>Minimum requirement: "Projects providing or retaining jobs with wages meeting the Independence average wage." For "Most Favored" designation: "Projects providing or retaining jobs with wages exceeding 120% of the Jackson County average wage."</w:t>
      </w:r>
    </w:p>
    <w:p w14:paraId="46A881DE" w14:textId="77777777" w:rsidR="00280FE4" w:rsidRDefault="00280FE4">
      <w:pPr>
        <w:spacing w:before="60" w:after="60"/>
      </w:pPr>
    </w:p>
    <w:p w14:paraId="498AF664" w14:textId="77777777" w:rsidR="00280FE4" w:rsidRDefault="00000000">
      <w:pPr>
        <w:spacing w:before="80" w:after="100" w:line="276" w:lineRule="auto"/>
      </w:pPr>
      <w:r>
        <w:t>Deviation:</w:t>
      </w:r>
    </w:p>
    <w:p w14:paraId="731B44E0" w14:textId="77777777" w:rsidR="00280FE4" w:rsidRDefault="00000000">
      <w:pPr>
        <w:pStyle w:val="ListParagraph"/>
        <w:numPr>
          <w:ilvl w:val="0"/>
          <w:numId w:val="2"/>
        </w:numPr>
        <w:spacing w:before="60" w:after="60"/>
      </w:pPr>
      <w:r>
        <w:t>The Chapter 100 ordinance and bond documents contain no enforceable wage floor tied to the Independence or Jackson County average wage.</w:t>
      </w:r>
    </w:p>
    <w:p w14:paraId="782E2A73" w14:textId="77777777" w:rsidR="00280FE4" w:rsidRDefault="00000000">
      <w:pPr>
        <w:pStyle w:val="ListParagraph"/>
        <w:numPr>
          <w:ilvl w:val="0"/>
          <w:numId w:val="2"/>
        </w:numPr>
        <w:spacing w:before="60" w:after="60"/>
      </w:pPr>
      <w:r>
        <w:t>The Community Benefits Plan, which references workforce commitments, is non-binding — it contains no dollar amounts, no performance benchmarks, and no enforcement mechanism.</w:t>
      </w:r>
    </w:p>
    <w:p w14:paraId="1E1F7F55" w14:textId="77777777" w:rsidR="00280FE4" w:rsidRDefault="00000000">
      <w:pPr>
        <w:pStyle w:val="ListParagraph"/>
        <w:numPr>
          <w:ilvl w:val="0"/>
          <w:numId w:val="2"/>
        </w:numPr>
        <w:spacing w:before="60" w:after="60"/>
      </w:pPr>
      <w:r>
        <w:t>Absent an enforceable wage covenant, the Policy's wage requirement is treated as satisfied by representation rather than contract.</w:t>
      </w:r>
    </w:p>
    <w:p w14:paraId="3964959A" w14:textId="77777777" w:rsidR="00280FE4" w:rsidRDefault="00280FE4">
      <w:pPr>
        <w:spacing w:before="60" w:after="60"/>
      </w:pPr>
    </w:p>
    <w:p w14:paraId="62CC17D9" w14:textId="77777777" w:rsidR="00280FE4" w:rsidRDefault="00000000">
      <w:pPr>
        <w:pStyle w:val="Heading2"/>
      </w:pPr>
      <w:r>
        <w:t>Deviation 7: Sustainable Practices Requirement Has No Binding Implementation</w:t>
      </w:r>
    </w:p>
    <w:p w14:paraId="4ABBD70B" w14:textId="77777777" w:rsidR="00280FE4" w:rsidRDefault="00000000">
      <w:pPr>
        <w:spacing w:before="80" w:after="100" w:line="276" w:lineRule="auto"/>
      </w:pPr>
      <w:r>
        <w:t>Policy Language (Section IV.A.1.B):</w:t>
      </w:r>
    </w:p>
    <w:p w14:paraId="23359A76" w14:textId="77777777" w:rsidR="00280FE4" w:rsidRDefault="00000000">
      <w:pPr>
        <w:spacing w:before="80" w:after="100" w:line="276" w:lineRule="auto"/>
      </w:pPr>
      <w:r>
        <w:t>"Projects must recognize the importance of, and make provisions for, sustainable practices, including energy efficiency." This requirement appears in the minimum requirements for Chapter 100, Chapter 353, TIF, NID, and CID — it is the most universally applied standard in the entire Policy.</w:t>
      </w:r>
    </w:p>
    <w:p w14:paraId="5A73760F" w14:textId="77777777" w:rsidR="00280FE4" w:rsidRDefault="00280FE4">
      <w:pPr>
        <w:spacing w:before="60" w:after="60"/>
      </w:pPr>
    </w:p>
    <w:p w14:paraId="1A850B72" w14:textId="77777777" w:rsidR="00280FE4" w:rsidRDefault="00000000">
      <w:pPr>
        <w:spacing w:before="80" w:after="100" w:line="276" w:lineRule="auto"/>
      </w:pPr>
      <w:r>
        <w:t>Deviation:</w:t>
      </w:r>
    </w:p>
    <w:p w14:paraId="7D14E0C3" w14:textId="77777777" w:rsidR="00280FE4" w:rsidRDefault="00000000">
      <w:pPr>
        <w:pStyle w:val="ListParagraph"/>
        <w:numPr>
          <w:ilvl w:val="0"/>
          <w:numId w:val="2"/>
        </w:numPr>
        <w:spacing w:before="60" w:after="60"/>
      </w:pPr>
      <w:r>
        <w:t xml:space="preserve">Hyperscale AI data centers are among the most energy- and water-intensive commercial facilities in existence. The </w:t>
      </w:r>
      <w:proofErr w:type="spellStart"/>
      <w:r>
        <w:t>Nebius</w:t>
      </w:r>
      <w:proofErr w:type="spellEnd"/>
      <w:r>
        <w:t xml:space="preserve"> campus at full build-out will draw hundreds of megawatts of power continuously.</w:t>
      </w:r>
    </w:p>
    <w:p w14:paraId="24FF9C91" w14:textId="77777777" w:rsidR="00280FE4" w:rsidRDefault="00000000">
      <w:pPr>
        <w:pStyle w:val="ListParagraph"/>
        <w:numPr>
          <w:ilvl w:val="0"/>
          <w:numId w:val="2"/>
        </w:numPr>
        <w:spacing w:before="60" w:after="60"/>
      </w:pPr>
      <w:r>
        <w:t>No binding sustainability commitments, renewable energy targets, Power Usage Effectiveness (PUE) benchmarks, water consumption limits, or energy efficiency standards appear in the Chapter 100 ordinance or any enforceable agreement.</w:t>
      </w:r>
    </w:p>
    <w:p w14:paraId="7D2626BC" w14:textId="77777777" w:rsidR="00280FE4" w:rsidRDefault="00000000">
      <w:pPr>
        <w:pStyle w:val="ListParagraph"/>
        <w:numPr>
          <w:ilvl w:val="0"/>
          <w:numId w:val="2"/>
        </w:numPr>
        <w:spacing w:before="60" w:after="60"/>
      </w:pPr>
      <w:r>
        <w:t>The Community Benefits Plan's references to sustainability are aspirational and non-binding, with no measurement or enforcement mechanism.</w:t>
      </w:r>
    </w:p>
    <w:p w14:paraId="3BA9061D" w14:textId="77777777" w:rsidR="00280FE4" w:rsidRDefault="00280FE4">
      <w:pPr>
        <w:spacing w:before="60" w:after="60"/>
      </w:pPr>
    </w:p>
    <w:p w14:paraId="5E5C5E46" w14:textId="77777777" w:rsidR="00280FE4" w:rsidRDefault="00000000">
      <w:pPr>
        <w:pStyle w:val="Heading2"/>
      </w:pPr>
      <w:r>
        <w:t>Deviation 8: Independence Power Partners Received 100% Abatement with Zero PILOT — No Policy Justification</w:t>
      </w:r>
    </w:p>
    <w:p w14:paraId="1899982C" w14:textId="77777777" w:rsidR="00280FE4" w:rsidRDefault="00000000">
      <w:pPr>
        <w:spacing w:before="80" w:after="100" w:line="276" w:lineRule="auto"/>
      </w:pPr>
      <w:r>
        <w:t>Policy Language (Section IV.A.1.A and IV.A.1.B):</w:t>
      </w:r>
    </w:p>
    <w:p w14:paraId="576F834F" w14:textId="77777777" w:rsidR="00280FE4" w:rsidRDefault="00000000">
      <w:pPr>
        <w:spacing w:before="80" w:after="100" w:line="276" w:lineRule="auto"/>
      </w:pPr>
      <w:r>
        <w:t xml:space="preserve">"The </w:t>
      </w:r>
      <w:proofErr w:type="gramStart"/>
      <w:r>
        <w:t>City</w:t>
      </w:r>
      <w:proofErr w:type="gramEnd"/>
      <w:r>
        <w:t xml:space="preserve"> may require that PILOT payments be made to all impacted taxing districts." Minimum requirement: "Project benefits to the community must justify the impact the abatement will have on taxing jurisdictions."</w:t>
      </w:r>
    </w:p>
    <w:p w14:paraId="6C0D57CC" w14:textId="77777777" w:rsidR="00280FE4" w:rsidRDefault="00280FE4">
      <w:pPr>
        <w:spacing w:before="60" w:after="60"/>
      </w:pPr>
    </w:p>
    <w:p w14:paraId="56EE0EBD" w14:textId="77777777" w:rsidR="00280FE4" w:rsidRDefault="00000000">
      <w:pPr>
        <w:spacing w:before="80" w:after="100" w:line="276" w:lineRule="auto"/>
      </w:pPr>
      <w:r>
        <w:t>Deviation:</w:t>
      </w:r>
    </w:p>
    <w:p w14:paraId="05B85C94" w14:textId="77777777" w:rsidR="00280FE4" w:rsidRDefault="00000000">
      <w:pPr>
        <w:pStyle w:val="ListParagraph"/>
        <w:numPr>
          <w:ilvl w:val="0"/>
          <w:numId w:val="2"/>
        </w:numPr>
        <w:spacing w:before="60" w:after="60"/>
      </w:pPr>
      <w:r>
        <w:lastRenderedPageBreak/>
        <w:t>Independence Power Partners (IPP) — a private Delaware-registered joint venture of Exigent Energy and United Energy Trading — received 100% tax abatement with zero PILOT payments.</w:t>
      </w:r>
    </w:p>
    <w:p w14:paraId="0CC44D2B" w14:textId="77777777" w:rsidR="00280FE4" w:rsidRDefault="00000000">
      <w:pPr>
        <w:pStyle w:val="ListParagraph"/>
        <w:numPr>
          <w:ilvl w:val="0"/>
          <w:numId w:val="2"/>
        </w:numPr>
        <w:spacing w:before="60" w:after="60"/>
      </w:pPr>
      <w:r>
        <w:t>IPP is not the primary project applicant; it is the infrastructure power vendor constructing a new power station at the former Blue Valley Power Plant site. Granting it 100% abatement with zero PILOT is an extraordinary benefit with no documented Policy justification.</w:t>
      </w:r>
    </w:p>
    <w:p w14:paraId="61D13553" w14:textId="77777777" w:rsidR="00280FE4" w:rsidRDefault="00000000">
      <w:pPr>
        <w:pStyle w:val="ListParagraph"/>
        <w:numPr>
          <w:ilvl w:val="0"/>
          <w:numId w:val="2"/>
        </w:numPr>
        <w:spacing w:before="60" w:after="60"/>
      </w:pPr>
      <w:r>
        <w:t>The foregone tax revenue from IPP's 100% abatement represents hundreds of millions of dollars over the abatement period that would otherwise flow to school districts and other taxing jurisdictions.</w:t>
      </w:r>
    </w:p>
    <w:p w14:paraId="31F78EAA" w14:textId="77777777" w:rsidR="00280FE4" w:rsidRDefault="00000000">
      <w:pPr>
        <w:pStyle w:val="ListParagraph"/>
        <w:numPr>
          <w:ilvl w:val="0"/>
          <w:numId w:val="2"/>
        </w:numPr>
        <w:spacing w:before="60" w:after="60"/>
      </w:pPr>
      <w:r>
        <w:t>All major IPP-related power agreements were authorized in a single closed executive session on November 24, 2025 — with no public vote and no public benefit analysis on the record.</w:t>
      </w:r>
    </w:p>
    <w:p w14:paraId="0128DD9D" w14:textId="77777777" w:rsidR="00280FE4" w:rsidRDefault="00280FE4">
      <w:pPr>
        <w:spacing w:before="60" w:after="60"/>
      </w:pPr>
    </w:p>
    <w:p w14:paraId="17CA78F3" w14:textId="77777777" w:rsidR="00280FE4" w:rsidRDefault="00000000">
      <w:pPr>
        <w:pStyle w:val="Heading2"/>
      </w:pPr>
      <w:r>
        <w:t>Deviation 9: The Required Application and Commission Review Process Was Not Publicly Followed</w:t>
      </w:r>
    </w:p>
    <w:p w14:paraId="4D8EBC7F" w14:textId="77777777" w:rsidR="00280FE4" w:rsidRDefault="00000000">
      <w:pPr>
        <w:spacing w:before="80" w:after="100" w:line="276" w:lineRule="auto"/>
      </w:pPr>
      <w:r>
        <w:t>Policy Language (Section IV.A.1.D — Application Process):</w:t>
      </w:r>
    </w:p>
    <w:p w14:paraId="77E23EA5" w14:textId="77777777" w:rsidR="00280FE4" w:rsidRDefault="00000000">
      <w:pPr>
        <w:spacing w:before="80" w:after="100" w:line="276" w:lineRule="auto"/>
      </w:pPr>
      <w:r>
        <w:t>The Policy requires: (1) submission of a Financial Incentives Application and Worksheet; (2) review by City staff including the City Manager's Office, Finance &amp; Administration, Community Development, and Law; (3) review and recommendation by the Independence Economic Development and Incentives Commission within 30 days; (4) preparation of a Term Sheet; and (5) negotiation of a Development Agreement.</w:t>
      </w:r>
    </w:p>
    <w:p w14:paraId="3D8A34AE" w14:textId="77777777" w:rsidR="00280FE4" w:rsidRDefault="00280FE4">
      <w:pPr>
        <w:spacing w:before="60" w:after="60"/>
      </w:pPr>
    </w:p>
    <w:p w14:paraId="7A13D10C" w14:textId="77777777" w:rsidR="00280FE4" w:rsidRDefault="00000000">
      <w:pPr>
        <w:spacing w:before="80" w:after="100" w:line="276" w:lineRule="auto"/>
      </w:pPr>
      <w:r>
        <w:t>Deviation:</w:t>
      </w:r>
    </w:p>
    <w:p w14:paraId="6547B164" w14:textId="77777777" w:rsidR="00280FE4" w:rsidRDefault="00000000">
      <w:pPr>
        <w:pStyle w:val="ListParagraph"/>
        <w:numPr>
          <w:ilvl w:val="0"/>
          <w:numId w:val="2"/>
        </w:numPr>
        <w:spacing w:before="60" w:after="60"/>
      </w:pPr>
      <w:r>
        <w:t>The major power and infrastructure agreements undergirding the entire transaction were authorized in closed executive session on November 24, 2025 — bypassing the public application, public EDIC review, and public Term Sheet stages that the Policy requires.</w:t>
      </w:r>
    </w:p>
    <w:p w14:paraId="0A6D493C" w14:textId="77777777" w:rsidR="00280FE4" w:rsidRDefault="00000000">
      <w:pPr>
        <w:pStyle w:val="ListParagraph"/>
        <w:numPr>
          <w:ilvl w:val="0"/>
          <w:numId w:val="2"/>
        </w:numPr>
        <w:spacing w:before="60" w:after="60"/>
      </w:pPr>
      <w:r>
        <w:t>No public record of a completed Financial Incentives Application Worksheet, City staff review memorandum, or EDIC recommendation has been made available.</w:t>
      </w:r>
    </w:p>
    <w:p w14:paraId="1D9F3899" w14:textId="77777777" w:rsidR="00280FE4" w:rsidRDefault="00000000">
      <w:pPr>
        <w:pStyle w:val="ListParagraph"/>
        <w:numPr>
          <w:ilvl w:val="0"/>
          <w:numId w:val="2"/>
        </w:numPr>
        <w:spacing w:before="60" w:after="60"/>
      </w:pPr>
      <w:r>
        <w:t>The Policy explicitly states that a completed application "does not guarantee that any economic development incentives will be recommended by City staff or granted by the City." The procedural bypass denied the public and the EDIC any meaningful role in the review.</w:t>
      </w:r>
    </w:p>
    <w:p w14:paraId="004B0919" w14:textId="77777777" w:rsidR="00280FE4" w:rsidRDefault="00280FE4">
      <w:pPr>
        <w:spacing w:before="60" w:after="60"/>
      </w:pPr>
    </w:p>
    <w:p w14:paraId="59A8AA72" w14:textId="77777777" w:rsidR="00280FE4" w:rsidRDefault="00000000">
      <w:pPr>
        <w:pStyle w:val="Heading1"/>
        <w:pBdr>
          <w:bottom w:val="single" w:sz="6" w:space="4" w:color="2E75B6"/>
        </w:pBdr>
      </w:pPr>
      <w:r>
        <w:t>IV. Legal Conclusions and Potential Challenges</w:t>
      </w:r>
    </w:p>
    <w:p w14:paraId="369FB141" w14:textId="77777777" w:rsidR="00280FE4" w:rsidRDefault="00000000">
      <w:pPr>
        <w:spacing w:before="80" w:after="100" w:line="276" w:lineRule="auto"/>
      </w:pPr>
      <w:r>
        <w:t>The foregoing deviations give rise to the following potential legal arguments and challenges:</w:t>
      </w:r>
    </w:p>
    <w:p w14:paraId="275FEAAC" w14:textId="77777777" w:rsidR="00280FE4" w:rsidRDefault="00280FE4">
      <w:pPr>
        <w:spacing w:before="60" w:after="60"/>
      </w:pPr>
    </w:p>
    <w:p w14:paraId="25BA9D15" w14:textId="77777777" w:rsidR="00280FE4" w:rsidRDefault="00000000">
      <w:pPr>
        <w:spacing w:before="80" w:after="100" w:line="276" w:lineRule="auto"/>
      </w:pPr>
      <w:r>
        <w:rPr>
          <w:b/>
          <w:bCs/>
        </w:rPr>
        <w:t xml:space="preserve">1.  Arbitrary and Capricious Action. </w:t>
      </w:r>
      <w:r>
        <w:t xml:space="preserve">Where a city adopts a formal policy governing the use of public economic incentives and then departs from that policy without documented findings or formal waivers, the resulting action may be challenged as arbitrary and capricious under </w:t>
      </w:r>
      <w:r>
        <w:lastRenderedPageBreak/>
        <w:t xml:space="preserve">Missouri administrative law principles. Each of the nine deviations identified above represents a departure from a standard the </w:t>
      </w:r>
      <w:proofErr w:type="gramStart"/>
      <w:r>
        <w:t>City</w:t>
      </w:r>
      <w:proofErr w:type="gramEnd"/>
      <w:r>
        <w:t xml:space="preserve"> itself adopted.</w:t>
      </w:r>
    </w:p>
    <w:p w14:paraId="0328E4E2" w14:textId="77777777" w:rsidR="00280FE4" w:rsidRDefault="00280FE4">
      <w:pPr>
        <w:spacing w:before="60" w:after="60"/>
      </w:pPr>
    </w:p>
    <w:p w14:paraId="52E152B2" w14:textId="77777777" w:rsidR="00280FE4" w:rsidRDefault="00000000">
      <w:pPr>
        <w:spacing w:before="80" w:after="100" w:line="276" w:lineRule="auto"/>
      </w:pPr>
      <w:r>
        <w:rPr>
          <w:b/>
          <w:bCs/>
        </w:rPr>
        <w:t xml:space="preserve">2.  Failure to Satisfy Statutory "But For" Requirements. </w:t>
      </w:r>
      <w:r>
        <w:t>Missouri Chapter 100 does not itself require a "but for" test, but the City's own Policy does — and that Policy was the framework under which this abatement was solicited and approved. The absence of any public "but for" analysis is both a Policy violation and a transparency failure.</w:t>
      </w:r>
    </w:p>
    <w:p w14:paraId="292E5108" w14:textId="77777777" w:rsidR="00280FE4" w:rsidRDefault="00280FE4">
      <w:pPr>
        <w:spacing w:before="60" w:after="60"/>
      </w:pPr>
    </w:p>
    <w:p w14:paraId="70E76CA1" w14:textId="77777777" w:rsidR="00280FE4" w:rsidRDefault="00000000">
      <w:pPr>
        <w:spacing w:before="80" w:after="100" w:line="276" w:lineRule="auto"/>
      </w:pPr>
      <w:r>
        <w:rPr>
          <w:b/>
          <w:bCs/>
        </w:rPr>
        <w:t xml:space="preserve">3.  Comprehensive Plan Non-Conformance. </w:t>
      </w:r>
      <w:r>
        <w:t>Missouri law requires that zoning and development actions conform to a city's comprehensive plan. The City's own Policy reinforces this requirement as a non-discretionary condition. A challenge to the adequacy of the comprehensive plan conformance finding for the data center use may be viable.</w:t>
      </w:r>
    </w:p>
    <w:p w14:paraId="793F5CB0" w14:textId="77777777" w:rsidR="00280FE4" w:rsidRDefault="00280FE4">
      <w:pPr>
        <w:spacing w:before="60" w:after="60"/>
      </w:pPr>
    </w:p>
    <w:p w14:paraId="0ED3C40D" w14:textId="77777777" w:rsidR="00280FE4" w:rsidRDefault="00000000">
      <w:pPr>
        <w:spacing w:before="80" w:after="100" w:line="276" w:lineRule="auto"/>
      </w:pPr>
      <w:r>
        <w:rPr>
          <w:b/>
          <w:bCs/>
        </w:rPr>
        <w:t xml:space="preserve">4.  Closed-Session Authorization of Public Utility Agreements. </w:t>
      </w:r>
      <w:r>
        <w:t xml:space="preserve">The authorization of major power and infrastructure agreements in a single closed executive session on November 24, 2025 — with no subsequent public vote — may violate Missouri Sunshine Law (Chapter 610 </w:t>
      </w:r>
      <w:proofErr w:type="spellStart"/>
      <w:r>
        <w:t>RSMo</w:t>
      </w:r>
      <w:proofErr w:type="spellEnd"/>
      <w:r>
        <w:t>) if the subjects discussed did not qualify for a closed session exception.</w:t>
      </w:r>
    </w:p>
    <w:p w14:paraId="6D14E0CA" w14:textId="77777777" w:rsidR="00280FE4" w:rsidRDefault="00280FE4">
      <w:pPr>
        <w:spacing w:before="60" w:after="60"/>
      </w:pPr>
    </w:p>
    <w:p w14:paraId="55009CD1" w14:textId="77777777" w:rsidR="00280FE4" w:rsidRDefault="00000000">
      <w:pPr>
        <w:spacing w:before="80" w:after="100" w:line="276" w:lineRule="auto"/>
      </w:pPr>
      <w:r>
        <w:rPr>
          <w:b/>
          <w:bCs/>
        </w:rPr>
        <w:t xml:space="preserve">5.  Non-Binding Community Benefits Plan as Inadequate Consideration. </w:t>
      </w:r>
      <w:r>
        <w:t>Where the Policy requires enforceable wage, sustainability, and public benefit provisions, and the City substituted a non-binding Community Benefits Plan with no dollar amounts, benchmarks, or enforcement mechanism, the adequacy of public consideration for the 90%/20-year abatement is subject to challenge.</w:t>
      </w:r>
    </w:p>
    <w:p w14:paraId="138CEC73" w14:textId="77777777" w:rsidR="00280FE4" w:rsidRDefault="00280FE4">
      <w:pPr>
        <w:spacing w:before="60" w:after="60"/>
      </w:pPr>
    </w:p>
    <w:p w14:paraId="2057A82F" w14:textId="77777777" w:rsidR="00280FE4" w:rsidRDefault="00000000">
      <w:pPr>
        <w:pStyle w:val="Heading1"/>
        <w:pBdr>
          <w:bottom w:val="single" w:sz="6" w:space="4" w:color="2E75B6"/>
        </w:pBdr>
      </w:pPr>
      <w:r>
        <w:t>V. Document Sources and Record Citations</w:t>
      </w:r>
    </w:p>
    <w:p w14:paraId="5DDBD396" w14:textId="77777777" w:rsidR="00280FE4" w:rsidRDefault="00000000">
      <w:pPr>
        <w:spacing w:before="80" w:after="100" w:line="276" w:lineRule="auto"/>
      </w:pPr>
      <w:r>
        <w:t>The following primary source documents support the findings in this memorandum and are available for attorney review:</w:t>
      </w:r>
    </w:p>
    <w:p w14:paraId="55510A64" w14:textId="77777777" w:rsidR="00280FE4" w:rsidRDefault="00280FE4">
      <w:pPr>
        <w:spacing w:before="60" w:after="60"/>
      </w:pPr>
    </w:p>
    <w:p w14:paraId="2108838F" w14:textId="77777777" w:rsidR="00280FE4" w:rsidRDefault="00000000">
      <w:pPr>
        <w:pStyle w:val="ListParagraph"/>
        <w:numPr>
          <w:ilvl w:val="0"/>
          <w:numId w:val="2"/>
        </w:numPr>
        <w:spacing w:before="60" w:after="60"/>
      </w:pPr>
      <w:r>
        <w:t>City of Independence 2023 Economic Development Policy (August 2023) — https://www.independencemo.gov/sites/default/files/2023-08/Economic%20Development%20Policy%202023.pdf</w:t>
      </w:r>
    </w:p>
    <w:p w14:paraId="5EABC7A2" w14:textId="77777777" w:rsidR="00280FE4" w:rsidRDefault="00000000">
      <w:pPr>
        <w:pStyle w:val="ListParagraph"/>
        <w:numPr>
          <w:ilvl w:val="0"/>
          <w:numId w:val="2"/>
        </w:numPr>
        <w:spacing w:before="60" w:after="60"/>
      </w:pPr>
      <w:r>
        <w:t>Bill No. 26-019 / Ordinance No. 19791 — Chapter 100 Industrial Development Revenue Bond Ordinance, approved March 2, 2026</w:t>
      </w:r>
    </w:p>
    <w:p w14:paraId="7F168503" w14:textId="77777777" w:rsidR="00280FE4" w:rsidRDefault="00000000">
      <w:pPr>
        <w:pStyle w:val="ListParagraph"/>
        <w:numPr>
          <w:ilvl w:val="0"/>
          <w:numId w:val="2"/>
        </w:numPr>
        <w:spacing w:before="60" w:after="60"/>
      </w:pPr>
      <w:r>
        <w:t>City Council Agenda Packet — March 2, 2026 (including architectural site plan and abatement details)</w:t>
      </w:r>
    </w:p>
    <w:p w14:paraId="1DF9CB43" w14:textId="77777777" w:rsidR="00280FE4" w:rsidRDefault="00000000">
      <w:pPr>
        <w:pStyle w:val="ListParagraph"/>
        <w:numPr>
          <w:ilvl w:val="0"/>
          <w:numId w:val="2"/>
        </w:numPr>
        <w:spacing w:before="60" w:after="60"/>
      </w:pPr>
      <w:r>
        <w:t>NorthPoint Rezoning — Bill No. 22-036 (2022)</w:t>
      </w:r>
    </w:p>
    <w:p w14:paraId="12F796E5" w14:textId="77777777" w:rsidR="00280FE4" w:rsidRDefault="00000000">
      <w:pPr>
        <w:pStyle w:val="ListParagraph"/>
        <w:numPr>
          <w:ilvl w:val="0"/>
          <w:numId w:val="2"/>
        </w:numPr>
        <w:spacing w:before="60" w:after="60"/>
      </w:pPr>
      <w:r>
        <w:t>Jackson County Circuit Court Order — Judge Jennifer Phillips, April 9, 2026 (referendum petition ruling)</w:t>
      </w:r>
    </w:p>
    <w:p w14:paraId="3F648298" w14:textId="77777777" w:rsidR="00280FE4" w:rsidRDefault="00000000">
      <w:pPr>
        <w:pStyle w:val="ListParagraph"/>
        <w:numPr>
          <w:ilvl w:val="0"/>
          <w:numId w:val="2"/>
        </w:numPr>
        <w:spacing w:before="60" w:after="60"/>
      </w:pPr>
      <w:r>
        <w:t>Jackson County Legislature — Moratorium Bill, introduced April 6, 2026 by Legislative Vice Chair Sean Smith</w:t>
      </w:r>
    </w:p>
    <w:p w14:paraId="0DF2CBED" w14:textId="77777777" w:rsidR="00280FE4" w:rsidRDefault="00000000">
      <w:pPr>
        <w:pStyle w:val="ListParagraph"/>
        <w:numPr>
          <w:ilvl w:val="0"/>
          <w:numId w:val="2"/>
        </w:numPr>
        <w:spacing w:before="60" w:after="60"/>
      </w:pPr>
      <w:r>
        <w:lastRenderedPageBreak/>
        <w:t xml:space="preserve">Missouri Sunshine Law (Chapter 610 </w:t>
      </w:r>
      <w:proofErr w:type="spellStart"/>
      <w:r>
        <w:t>RSMo</w:t>
      </w:r>
      <w:proofErr w:type="spellEnd"/>
      <w:r>
        <w:t>) — public records requests pending with City of Independence covering water/electricity consumption and executive session records</w:t>
      </w:r>
    </w:p>
    <w:p w14:paraId="3685FA3F" w14:textId="77777777" w:rsidR="00280FE4" w:rsidRDefault="00280FE4">
      <w:pPr>
        <w:spacing w:before="60" w:after="60"/>
      </w:pPr>
    </w:p>
    <w:p w14:paraId="4CDE10BD" w14:textId="77777777" w:rsidR="00280FE4" w:rsidRDefault="00000000">
      <w:pPr>
        <w:pBdr>
          <w:top w:val="single" w:sz="4" w:space="8" w:color="CCCCCC"/>
        </w:pBdr>
        <w:spacing w:before="400" w:after="100"/>
      </w:pPr>
      <w:r>
        <w:rPr>
          <w:i/>
          <w:iCs/>
          <w:color w:val="595959"/>
          <w:sz w:val="18"/>
          <w:szCs w:val="18"/>
        </w:rPr>
        <w:t>This memorandum is prepared as research material in support of legal challenge activities. It does not constitute legal advice. Recipients should consult qualified legal counsel regarding the viability of any specific legal action.</w:t>
      </w:r>
    </w:p>
    <w:sectPr w:rsidR="00280FE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39DB" w14:textId="77777777" w:rsidR="00FE1224" w:rsidRDefault="00FE1224">
      <w:r>
        <w:separator/>
      </w:r>
    </w:p>
  </w:endnote>
  <w:endnote w:type="continuationSeparator" w:id="0">
    <w:p w14:paraId="6BA2ADF0" w14:textId="77777777" w:rsidR="00FE1224" w:rsidRDefault="00FE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4F2" w14:textId="77777777" w:rsidR="00280FE4" w:rsidRDefault="00000000">
    <w:pPr>
      <w:pBdr>
        <w:top w:val="single" w:sz="6" w:space="4" w:color="2E75B6"/>
      </w:pBdr>
      <w:tabs>
        <w:tab w:val="right" w:pos="9360"/>
      </w:tabs>
      <w:spacing w:before="100"/>
    </w:pPr>
    <w:r>
      <w:rPr>
        <w:color w:val="595959"/>
        <w:sz w:val="18"/>
        <w:szCs w:val="18"/>
      </w:rPr>
      <w:t>Stop the AI Data Center in Independence, MO — Research Materials</w:t>
    </w:r>
    <w:r>
      <w:rPr>
        <w:color w:val="595959"/>
        <w:sz w:val="18"/>
        <w:szCs w:val="18"/>
      </w:rPr>
      <w:tab/>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CCB3" w14:textId="77777777" w:rsidR="00FE1224" w:rsidRDefault="00FE1224">
      <w:r>
        <w:separator/>
      </w:r>
    </w:p>
  </w:footnote>
  <w:footnote w:type="continuationSeparator" w:id="0">
    <w:p w14:paraId="693FFA53" w14:textId="77777777" w:rsidR="00FE1224" w:rsidRDefault="00FE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644F" w14:textId="77777777" w:rsidR="00280FE4" w:rsidRDefault="00000000">
    <w:pPr>
      <w:pBdr>
        <w:bottom w:val="single" w:sz="6" w:space="4" w:color="2E75B6"/>
      </w:pBdr>
      <w:spacing w:after="120"/>
    </w:pPr>
    <w:r>
      <w:rPr>
        <w:b/>
        <w:bCs/>
        <w:color w:val="595959"/>
        <w:sz w:val="18"/>
        <w:szCs w:val="18"/>
      </w:rPr>
      <w:t>PRIVILEGED &amp; CONFIDENTIAL — ATTORNEY WORK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8E5"/>
    <w:multiLevelType w:val="hybridMultilevel"/>
    <w:tmpl w:val="CCC89D32"/>
    <w:lvl w:ilvl="0" w:tplc="2EFAA44C">
      <w:start w:val="1"/>
      <w:numFmt w:val="bullet"/>
      <w:lvlText w:val="○"/>
      <w:lvlJc w:val="left"/>
      <w:pPr>
        <w:ind w:left="1080" w:hanging="360"/>
      </w:pPr>
    </w:lvl>
    <w:lvl w:ilvl="1" w:tplc="9984F776">
      <w:numFmt w:val="decimal"/>
      <w:lvlText w:val=""/>
      <w:lvlJc w:val="left"/>
    </w:lvl>
    <w:lvl w:ilvl="2" w:tplc="FD8A1B30">
      <w:numFmt w:val="decimal"/>
      <w:lvlText w:val=""/>
      <w:lvlJc w:val="left"/>
    </w:lvl>
    <w:lvl w:ilvl="3" w:tplc="48DED9F2">
      <w:numFmt w:val="decimal"/>
      <w:lvlText w:val=""/>
      <w:lvlJc w:val="left"/>
    </w:lvl>
    <w:lvl w:ilvl="4" w:tplc="AA029426">
      <w:numFmt w:val="decimal"/>
      <w:lvlText w:val=""/>
      <w:lvlJc w:val="left"/>
    </w:lvl>
    <w:lvl w:ilvl="5" w:tplc="F1D04F4E">
      <w:numFmt w:val="decimal"/>
      <w:lvlText w:val=""/>
      <w:lvlJc w:val="left"/>
    </w:lvl>
    <w:lvl w:ilvl="6" w:tplc="EE6AE604">
      <w:numFmt w:val="decimal"/>
      <w:lvlText w:val=""/>
      <w:lvlJc w:val="left"/>
    </w:lvl>
    <w:lvl w:ilvl="7" w:tplc="D046C7A4">
      <w:numFmt w:val="decimal"/>
      <w:lvlText w:val=""/>
      <w:lvlJc w:val="left"/>
    </w:lvl>
    <w:lvl w:ilvl="8" w:tplc="6B10A814">
      <w:numFmt w:val="decimal"/>
      <w:lvlText w:val=""/>
      <w:lvlJc w:val="left"/>
    </w:lvl>
  </w:abstractNum>
  <w:abstractNum w:abstractNumId="1" w15:restartNumberingAfterBreak="0">
    <w:nsid w:val="513D5862"/>
    <w:multiLevelType w:val="hybridMultilevel"/>
    <w:tmpl w:val="EFD43A66"/>
    <w:lvl w:ilvl="0" w:tplc="BFA21B38">
      <w:start w:val="1"/>
      <w:numFmt w:val="bullet"/>
      <w:lvlText w:val="•"/>
      <w:lvlJc w:val="left"/>
      <w:pPr>
        <w:ind w:left="720" w:hanging="360"/>
      </w:pPr>
    </w:lvl>
    <w:lvl w:ilvl="1" w:tplc="83061418">
      <w:numFmt w:val="decimal"/>
      <w:lvlText w:val=""/>
      <w:lvlJc w:val="left"/>
    </w:lvl>
    <w:lvl w:ilvl="2" w:tplc="2804A282">
      <w:numFmt w:val="decimal"/>
      <w:lvlText w:val=""/>
      <w:lvlJc w:val="left"/>
    </w:lvl>
    <w:lvl w:ilvl="3" w:tplc="C8CE159A">
      <w:numFmt w:val="decimal"/>
      <w:lvlText w:val=""/>
      <w:lvlJc w:val="left"/>
    </w:lvl>
    <w:lvl w:ilvl="4" w:tplc="389E5BE0">
      <w:numFmt w:val="decimal"/>
      <w:lvlText w:val=""/>
      <w:lvlJc w:val="left"/>
    </w:lvl>
    <w:lvl w:ilvl="5" w:tplc="FB105BEA">
      <w:numFmt w:val="decimal"/>
      <w:lvlText w:val=""/>
      <w:lvlJc w:val="left"/>
    </w:lvl>
    <w:lvl w:ilvl="6" w:tplc="B7247C5C">
      <w:numFmt w:val="decimal"/>
      <w:lvlText w:val=""/>
      <w:lvlJc w:val="left"/>
    </w:lvl>
    <w:lvl w:ilvl="7" w:tplc="54967214">
      <w:numFmt w:val="decimal"/>
      <w:lvlText w:val=""/>
      <w:lvlJc w:val="left"/>
    </w:lvl>
    <w:lvl w:ilvl="8" w:tplc="E9E46426">
      <w:numFmt w:val="decimal"/>
      <w:lvlText w:val=""/>
      <w:lvlJc w:val="left"/>
    </w:lvl>
  </w:abstractNum>
  <w:abstractNum w:abstractNumId="2" w15:restartNumberingAfterBreak="0">
    <w:nsid w:val="52E26AB6"/>
    <w:multiLevelType w:val="hybridMultilevel"/>
    <w:tmpl w:val="27F8E26A"/>
    <w:lvl w:ilvl="0" w:tplc="76AE5C9E">
      <w:start w:val="1"/>
      <w:numFmt w:val="bullet"/>
      <w:lvlText w:val="●"/>
      <w:lvlJc w:val="left"/>
      <w:pPr>
        <w:ind w:left="720" w:hanging="360"/>
      </w:pPr>
    </w:lvl>
    <w:lvl w:ilvl="1" w:tplc="7AFA6BC2">
      <w:start w:val="1"/>
      <w:numFmt w:val="bullet"/>
      <w:lvlText w:val="○"/>
      <w:lvlJc w:val="left"/>
      <w:pPr>
        <w:ind w:left="1440" w:hanging="360"/>
      </w:pPr>
    </w:lvl>
    <w:lvl w:ilvl="2" w:tplc="6ABE91E0">
      <w:start w:val="1"/>
      <w:numFmt w:val="bullet"/>
      <w:lvlText w:val="■"/>
      <w:lvlJc w:val="left"/>
      <w:pPr>
        <w:ind w:left="2160" w:hanging="360"/>
      </w:pPr>
    </w:lvl>
    <w:lvl w:ilvl="3" w:tplc="A89C0F16">
      <w:start w:val="1"/>
      <w:numFmt w:val="bullet"/>
      <w:lvlText w:val="●"/>
      <w:lvlJc w:val="left"/>
      <w:pPr>
        <w:ind w:left="2880" w:hanging="360"/>
      </w:pPr>
    </w:lvl>
    <w:lvl w:ilvl="4" w:tplc="39B8B09A">
      <w:start w:val="1"/>
      <w:numFmt w:val="bullet"/>
      <w:lvlText w:val="○"/>
      <w:lvlJc w:val="left"/>
      <w:pPr>
        <w:ind w:left="3600" w:hanging="360"/>
      </w:pPr>
    </w:lvl>
    <w:lvl w:ilvl="5" w:tplc="A9B2944A">
      <w:start w:val="1"/>
      <w:numFmt w:val="bullet"/>
      <w:lvlText w:val="■"/>
      <w:lvlJc w:val="left"/>
      <w:pPr>
        <w:ind w:left="4320" w:hanging="360"/>
      </w:pPr>
    </w:lvl>
    <w:lvl w:ilvl="6" w:tplc="89389B96">
      <w:start w:val="1"/>
      <w:numFmt w:val="bullet"/>
      <w:lvlText w:val="●"/>
      <w:lvlJc w:val="left"/>
      <w:pPr>
        <w:ind w:left="5040" w:hanging="360"/>
      </w:pPr>
    </w:lvl>
    <w:lvl w:ilvl="7" w:tplc="3E444C02">
      <w:start w:val="1"/>
      <w:numFmt w:val="bullet"/>
      <w:lvlText w:val="●"/>
      <w:lvlJc w:val="left"/>
      <w:pPr>
        <w:ind w:left="5760" w:hanging="360"/>
      </w:pPr>
    </w:lvl>
    <w:lvl w:ilvl="8" w:tplc="64C66106">
      <w:start w:val="1"/>
      <w:numFmt w:val="bullet"/>
      <w:lvlText w:val="●"/>
      <w:lvlJc w:val="left"/>
      <w:pPr>
        <w:ind w:left="6480" w:hanging="360"/>
      </w:pPr>
    </w:lvl>
  </w:abstractNum>
  <w:num w:numId="1" w16cid:durableId="159200798">
    <w:abstractNumId w:val="2"/>
    <w:lvlOverride w:ilvl="0">
      <w:startOverride w:val="1"/>
    </w:lvlOverride>
  </w:num>
  <w:num w:numId="2" w16cid:durableId="2864013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E4"/>
    <w:rsid w:val="00280FE4"/>
    <w:rsid w:val="00592690"/>
    <w:rsid w:val="009356F7"/>
    <w:rsid w:val="00FE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3050"/>
  <w15:docId w15:val="{A35E5E9E-FB3E-4ED8-81EF-C85CC5FB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unhideWhenUsed/>
    <w:qFormat/>
    <w:pPr>
      <w:spacing w:before="28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13656</Characters>
  <Application>Microsoft Office Word</Application>
  <DocSecurity>0</DocSecurity>
  <Lines>113</Lines>
  <Paragraphs>32</Paragraphs>
  <ScaleCrop>false</ScaleCrop>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Garrett</cp:lastModifiedBy>
  <cp:revision>2</cp:revision>
  <dcterms:created xsi:type="dcterms:W3CDTF">2026-05-06T01:23:00Z</dcterms:created>
  <dcterms:modified xsi:type="dcterms:W3CDTF">2026-05-06T01:23:00Z</dcterms:modified>
</cp:coreProperties>
</file>